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5"/>
    <w:p>
      <w:pPr>
        <w:pStyle w:val="Heading1"/>
      </w:pPr>
      <w:r>
        <w:t xml:space="preserve">Homiletics Analysis: Joshua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15 is the first and most detailed of the tribal allotment records in the book of Joshua, devoted entirely to the territory of Judah. The chapter opens with the lot falling to Judah according to their clans (v. 1), then traces three boundary descriptions — the southern border from the Salt Sea to the Brook of Egypt (vv. 2–4), the eastern border along the Salt Sea (v. 5), and the northern border from the bay of the Salt Sea through Jerusalem and down to the Mediterranean (vv. 5–11) — before closing the border circuit at the Great Sea (v. 12). The chapter then interrupts the cadastral record with the narrative of Caleb’s inheritance at Hebron and the taking of Debir (vv. 13–19), including the memorable exchange between Achsah and her father Caleb concerning the springs. The chapter then resumes with the most extensive city list in the book, organizing Judah’s towns by four geographic sub-regions: the Negeb (vv. 21–32), the Shephelah (vv. 33–47), the hill country (vv. 48–60), and the wilderness (vv. 61–62). The chapter closes on a sobering note of incompletion: the Jebusites in Jerusalem were not driven out and continue to dwell there with the people of Judah to this day (v. 63).</w:t>
      </w:r>
    </w:p>
    <w:p>
      <w:pPr>
        <w:pStyle w:val="BodyText"/>
      </w:pPr>
      <w:r>
        <w:rPr>
          <w:b/>
          <w:bCs/>
        </w:rPr>
        <w:t xml:space="preserve">This Text — Intent</w:t>
      </w:r>
    </w:p>
    <w:p>
      <w:pPr>
        <w:pStyle w:val="BodyText"/>
      </w:pPr>
      <w:r>
        <w:t xml:space="preserve">God is establishing through this detailed, named, geographic record that His covenant promises are not abstract theological claims but land-and-city, name-and-place, border-and-boundary realities. The precision is the point. Every city named, every boundary stone identified, every family and clan receiving their allotment by lot — these together constitute the concrete fulfillment of what Abraham was promised, what Israel rehearsed through forty years of wilderness wandering, and what God swore He would accomplish. But the chapter does not end in triumph. The failure at Jerusalem (v. 63) is a crack in the foundation — a signal that the conquest is incomplete, that Israel’s obedience has limits, and that the rest promised remains partially unoccupied. God intends the reader to feel both the weight of what has been given and the weight of what remains undone.</w:t>
      </w:r>
    </w:p>
    <w:p>
      <w:r>
        <w:pict>
          <v:rect style="width:0;height:1.5pt" o:hralign="center" o:hrstd="t" o:hr="t"/>
        </w:pict>
      </w:r>
    </w:p>
    <w:p>
      <w:pPr>
        <w:pStyle w:val="FirstParagraph"/>
      </w:pPr>
      <w:r>
        <w:rPr>
          <w:b/>
          <w:bCs/>
        </w:rPr>
        <w:t xml:space="preserve">Subject Sentence:</w:t>
      </w:r>
      <w:r>
        <w:t xml:space="preserve"> </w:t>
      </w:r>
      <w:r>
        <w:t xml:space="preserve">God fulfills His covenant promises with geographic precision — and Israel’s partial obedience leaves a crack in the foundation.</w:t>
      </w:r>
    </w:p>
    <w:p>
      <w:r>
        <w:pict>
          <v:rect style="width:0;height:1.5pt" o:hralign="center" o:hrstd="t" o:hr="t"/>
        </w:pict>
      </w:r>
    </w:p>
    <w:p>
      <w:pPr>
        <w:pStyle w:val="FirstParagraph"/>
      </w:pPr>
      <w:r>
        <w:rPr>
          <w:b/>
          <w:bCs/>
        </w:rPr>
        <w:t xml:space="preserve">Primary Claim:</w:t>
      </w:r>
      <w:r>
        <w:t xml:space="preserve"> </w:t>
      </w:r>
      <w:r>
        <w:t xml:space="preserve">The LORD makes good on His covenant promises with concrete, named, documented specificity — but the chapter’s closing failure reveals that inherited grace demands active faith, and when faith falters, the gift goes only partially possessed.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Purpose of the Allotment Lists</w:t>
      </w:r>
    </w:p>
    <w:p>
      <w:pPr>
        <w:pStyle w:val="BodyText"/>
      </w:pPr>
      <w:r>
        <w:t xml:space="preserve">A significant interpretive question concerns the function of chapters like Joshua 15 within the canon. A common homiletical response to these lists is to skip them or reduce them to a brief historical footnote — they are treated as background material rather than as Scripture making a claim. This is a category error. The lists are the claim. Their length and detail are not obstacles to the message; they</w:t>
      </w:r>
      <w:r>
        <w:t xml:space="preserve"> </w:t>
      </w:r>
      <w:r>
        <w:rPr>
          <w:i/>
          <w:iCs/>
        </w:rPr>
        <w:t xml:space="preserve">are</w:t>
      </w:r>
      <w:r>
        <w:t xml:space="preserve"> </w:t>
      </w:r>
      <w:r>
        <w:t xml:space="preserve">the message. The theological tradition that best resists this flattening is the Reformed covenantal reading, which recognizes that the land grant to Israel is not merely geopolitical but is the concrete actualization of the Abrahamic covenant. The lists function as a divine deed of title — God’s recorded fulfillment of the promise He made in Genesis 15. To skim them is to skip the evidence.</w:t>
      </w:r>
    </w:p>
    <w:p>
      <w:pPr>
        <w:pStyle w:val="BodyText"/>
      </w:pPr>
      <w:r>
        <w:t xml:space="preserve">A Dispensational reading often emphasizes this territory in terms of Israel’s national future — the land boundaries are read as pointing forward to a millennial fulfillment not yet complete. This reading helpfully maintains the literal, physical dimension of the promise and resists spiritualizing the land into a metaphor for heaven or spiritual blessing. However, the text in its canonical setting is not primarily prospective — it is retrospective fulfillment. Joshua 15 is the past tense of what Genesis 15 promised. The Dispensational emphasis on a future Israel-land fulfillment should be</w:t>
      </w:r>
      <w:r>
        <w:t xml:space="preserve"> </w:t>
      </w:r>
      <w:r>
        <w:rPr>
          <w:i/>
          <w:iCs/>
        </w:rPr>
        <w:t xml:space="preserve">acknowledged</w:t>
      </w:r>
      <w:r>
        <w:t xml:space="preserve"> </w:t>
      </w:r>
      <w:r>
        <w:t xml:space="preserve">as preserving the physicality of the promise without being allowed to dissolve the present canonical claim that God is here documenting actual fulfillment.</w:t>
      </w:r>
    </w:p>
    <w:p>
      <w:pPr>
        <w:pStyle w:val="BodyText"/>
      </w:pPr>
      <w:r>
        <w:rPr>
          <w:b/>
          <w:bCs/>
        </w:rPr>
        <w:t xml:space="preserve">The Caleb Narrative (vv. 13–19)</w:t>
      </w:r>
    </w:p>
    <w:p>
      <w:pPr>
        <w:pStyle w:val="BodyText"/>
      </w:pPr>
      <w:r>
        <w:t xml:space="preserve">The Caleb interlude has sometimes been read moralistically — Caleb as a model of bold faith and perseverance, with the application being</w:t>
      </w:r>
      <w:r>
        <w:t xml:space="preserve"> </w:t>
      </w:r>
      <w:r>
        <w:t xml:space="preserve">“be like Caleb.”</w:t>
      </w:r>
      <w:r>
        <w:t xml:space="preserve"> </w:t>
      </w:r>
      <w:r>
        <w:t xml:space="preserve">While Caleb’s faith is genuine and exemplary (cf. Numbers 14:24), a purely moralistic reading strips the narrative of its covenant logic. Caleb receives Hebron not primarily because he was brave but because Moses swore it to him (v. 13; cf. Numbers 14:24; Joshua 14:9). His bold action at Debir is the expression of covenant confidence, not merely human virtue. The Reformed reading grounds Caleb’s courage in the promise rather than elevating his courage as the source of the promise. The application to the reader runs: the basis for bold action is the certainty of what God has already sworn, not the native strength of the actor.</w:t>
      </w:r>
    </w:p>
    <w:p>
      <w:pPr>
        <w:pStyle w:val="BodyText"/>
      </w:pPr>
      <w:r>
        <w:t xml:space="preserve">The Achsah narrative (vv. 16–19) has attracted allegorical reading (Achsah as the soul seeking living water from the Father) and typological reading (Achsah as the church requesting blessing from Christ). Both readings should be</w:t>
      </w:r>
      <w:r>
        <w:t xml:space="preserve"> </w:t>
      </w:r>
      <w:r>
        <w:rPr>
          <w:i/>
          <w:iCs/>
        </w:rPr>
        <w:t xml:space="preserve">qualified</w:t>
      </w:r>
      <w:r>
        <w:t xml:space="preserve"> </w:t>
      </w:r>
      <w:r>
        <w:t xml:space="preserve">— they are not without canonical warrant given the New Testament’s own typological use of Joshua-era material, but neither can be established from the text itself, and both risk distracting from the plain narrative function: Achsah demonstrates the same bold faith her father modeled in claiming what is rightfully hers. The narrative is structurally parallel to Caleb’s claim in Joshua 14 — a daughter inherits the same boldness as her father.</w:t>
      </w:r>
    </w:p>
    <w:p>
      <w:pPr>
        <w:pStyle w:val="BodyText"/>
      </w:pPr>
      <w:r>
        <w:rPr>
          <w:b/>
          <w:bCs/>
        </w:rPr>
        <w:t xml:space="preserve">The Failure at Jerusalem (v. 63)</w:t>
      </w:r>
    </w:p>
    <w:p>
      <w:pPr>
        <w:pStyle w:val="BodyText"/>
      </w:pPr>
      <w:r>
        <w:t xml:space="preserve">Verse 63 has been read in several ways. Some read it as merely historical observation — no theological weight intended. Others (particularly within a Dispensational framework) read it as evidence of the land’s provisional character pending full restoration. The Reformed reading attaches full theological weight to the verse as a pattern statement: Israel’s failure to complete the conquest is neither accidental nor insignificant, but is the seed of the entire subsequent history of compromise and judgment. The Jebusites in Jerusalem are the beginning of the end of the judges-era compromise. The verse is not merely a footnote; it is a warning shot. The Wesleyan/Arminian reading would emphasize human responsibility here — Israel</w:t>
      </w:r>
      <w:r>
        <w:t xml:space="preserve"> </w:t>
      </w:r>
      <w:r>
        <w:rPr>
          <w:i/>
          <w:iCs/>
        </w:rPr>
        <w:t xml:space="preserve">could</w:t>
      </w:r>
      <w:r>
        <w:t xml:space="preserve"> </w:t>
      </w:r>
      <w:r>
        <w:t xml:space="preserve">have driven them out but</w:t>
      </w:r>
      <w:r>
        <w:t xml:space="preserve"> </w:t>
      </w:r>
      <w:r>
        <w:rPr>
          <w:i/>
          <w:iCs/>
        </w:rPr>
        <w:t xml:space="preserve">chose</w:t>
      </w:r>
      <w:r>
        <w:t xml:space="preserve"> </w:t>
      </w:r>
      <w:r>
        <w:t xml:space="preserve">not to — and this emphasis should be</w:t>
      </w:r>
      <w:r>
        <w:t xml:space="preserve"> </w:t>
      </w:r>
      <w:r>
        <w:rPr>
          <w:i/>
          <w:iCs/>
        </w:rPr>
        <w:t xml:space="preserve">acknowledged</w:t>
      </w:r>
      <w:r>
        <w:t xml:space="preserve"> </w:t>
      </w:r>
      <w:r>
        <w:t xml:space="preserve">as correct at the immediate historical level. The Reformed reading adds that this pattern of incomplete obedience points beyond Israel’s failure to the need for a conquering King who will complete what Joshua could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15:18–21</w:t>
      </w:r>
      <w:r>
        <w:t xml:space="preserve"> </w:t>
      </w:r>
      <w:r>
        <w:t xml:space="preserve">— The LORD’s covenant with Abram specifies the land</w:t>
      </w:r>
      <w:r>
        <w:t xml:space="preserve"> </w:t>
      </w:r>
      <w:r>
        <w:t xml:space="preserve">“from the river of Egypt to the great river, the river Euphrates”</w:t>
      </w:r>
      <w:r>
        <w:t xml:space="preserve"> </w:t>
      </w:r>
      <w:r>
        <w:t xml:space="preserve">and names the nations to be dispossessed. Joshua 15’s borders are the documented fulfillment of this exact promise; the detail of Joshua 15 answers the specificity of Genesis 15.</w:t>
      </w:r>
    </w:p>
    <w:p>
      <w:pPr>
        <w:numPr>
          <w:ilvl w:val="0"/>
          <w:numId w:val="1001"/>
        </w:numPr>
      </w:pPr>
      <w:r>
        <w:rPr>
          <w:b/>
          <w:bCs/>
        </w:rPr>
        <w:t xml:space="preserve">Numbers 14:24</w:t>
      </w:r>
      <w:r>
        <w:t xml:space="preserve"> </w:t>
      </w:r>
      <w:r>
        <w:t xml:space="preserve">— The LORD promises Caleb specifically that he will enter the land and that his descendants will possess it, because he had a</w:t>
      </w:r>
      <w:r>
        <w:t xml:space="preserve"> </w:t>
      </w:r>
      <w:r>
        <w:t xml:space="preserve">“different spirit”</w:t>
      </w:r>
      <w:r>
        <w:t xml:space="preserve"> </w:t>
      </w:r>
      <w:r>
        <w:t xml:space="preserve">and followed the LORD fully. Joshua 15:13–19 is the literal fulfillment of this personal covenant oath.</w:t>
      </w:r>
    </w:p>
    <w:p>
      <w:pPr>
        <w:numPr>
          <w:ilvl w:val="0"/>
          <w:numId w:val="1001"/>
        </w:numPr>
      </w:pPr>
      <w:r>
        <w:rPr>
          <w:b/>
          <w:bCs/>
        </w:rPr>
        <w:t xml:space="preserve">Deuteronomy 11:24–25</w:t>
      </w:r>
      <w:r>
        <w:t xml:space="preserve"> </w:t>
      </w:r>
      <w:r>
        <w:t xml:space="preserve">—</w:t>
      </w:r>
      <w:r>
        <w:t xml:space="preserve"> </w:t>
      </w:r>
      <w:r>
        <w:t xml:space="preserve">“Every place on which the sole of your foot treads shall be yours… No one shall be able to stand against you.”</w:t>
      </w:r>
      <w:r>
        <w:t xml:space="preserve"> </w:t>
      </w:r>
      <w:r>
        <w:t xml:space="preserve">Joshua 15 shows both the fulfillment of this promise (vast territory allotted) and its partial condition (the Jebusites standing in Jerusalem unchallenged).</w:t>
      </w:r>
    </w:p>
    <w:p>
      <w:pPr>
        <w:numPr>
          <w:ilvl w:val="0"/>
          <w:numId w:val="1001"/>
        </w:numPr>
      </w:pPr>
      <w:r>
        <w:rPr>
          <w:b/>
          <w:bCs/>
        </w:rPr>
        <w:t xml:space="preserve">Judges 1:8, 21</w:t>
      </w:r>
      <w:r>
        <w:t xml:space="preserve"> </w:t>
      </w:r>
      <w:r>
        <w:t xml:space="preserve">— The Judges account provides the sequel to Joshua 15:63: Judah takes Jerusalem (1:8) but Benjamin does not drive out the Jebusites (1:21), and the pattern of incomplete conquest spreads throughout the tribal record. Joshua 15’s closing note is the opening note of Judges’ spiral.</w:t>
      </w:r>
    </w:p>
    <w:p>
      <w:pPr>
        <w:numPr>
          <w:ilvl w:val="0"/>
          <w:numId w:val="1001"/>
        </w:numPr>
      </w:pPr>
      <w:r>
        <w:rPr>
          <w:b/>
          <w:bCs/>
        </w:rPr>
        <w:t xml:space="preserve">2 Samuel 5:6–10</w:t>
      </w:r>
      <w:r>
        <w:t xml:space="preserve"> </w:t>
      </w:r>
      <w:r>
        <w:t xml:space="preserve">— David finally captures Jerusalem from the Jebusites — centuries after Joshua 15:63. The failure of verse 63 is not resolved until the anointed king arrives. This canonical arc from Joshua 15 to 2 Samuel 5 points forward typologically: the city of God is secured not by tribal effort but by the appointed king at the appointed time.</w:t>
      </w:r>
    </w:p>
    <w:p>
      <w:r>
        <w:pict>
          <v:rect style="width:0;height:1.5pt" o:hralign="center" o:hrstd="t" o:hr="t"/>
        </w:pict>
      </w:r>
    </w:p>
    <w:p>
      <w:pPr>
        <w:pStyle w:val="FirstParagraph"/>
      </w:pPr>
      <w:r>
        <w:rPr>
          <w:b/>
          <w:bCs/>
        </w:rPr>
        <w:t xml:space="preserve">Aim:</w:t>
      </w:r>
      <w:r>
        <w:t xml:space="preserve"> </w:t>
      </w:r>
      <w:r>
        <w:t xml:space="preserve">To demonstrate that God’s covenant faithfulness is documentably concrete — and to confront the reader with the gap between received grace and fully inhabited grace, pressing toward faith that takes what God has already granted.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lot for the tribe of Judah, according to their clans, reaches to the border of Edom in the south</w:t>
            </w:r>
          </w:p>
        </w:tc>
        <w:tc>
          <w:tcPr/>
          <w:p>
            <w:pPr>
              <w:pStyle w:val="Compact"/>
            </w:pPr>
            <w:r>
              <w:t xml:space="preserve">“According to their clans”</w:t>
            </w:r>
            <w:r>
              <w:t xml:space="preserve"> </w:t>
            </w:r>
            <w:r>
              <w:t xml:space="preserve">— allotment is covenantally organized; no randomness</w:t>
            </w:r>
          </w:p>
        </w:tc>
      </w:tr>
      <w:tr>
        <w:tc>
          <w:tcPr/>
          <w:p>
            <w:pPr>
              <w:pStyle w:val="Compact"/>
            </w:pPr>
            <w:r>
              <w:t xml:space="preserve">2–4</w:t>
            </w:r>
          </w:p>
        </w:tc>
        <w:tc>
          <w:tcPr/>
          <w:p>
            <w:pPr>
              <w:pStyle w:val="Compact"/>
            </w:pPr>
            <w:r>
              <w:t xml:space="preserve">Southern border: Salt Sea → Bay → Scorpion Pass → Kadesh-barnea → Brook of Egypt → Mediterranean</w:t>
            </w:r>
          </w:p>
        </w:tc>
        <w:tc>
          <w:tcPr/>
          <w:p>
            <w:pPr>
              <w:pStyle w:val="Compact"/>
            </w:pPr>
            <w:r>
              <w:t xml:space="preserve">The southern border is the furthest reach; connects to Egypt boundary language of Gen 15</w:t>
            </w:r>
          </w:p>
        </w:tc>
      </w:tr>
      <w:tr>
        <w:tc>
          <w:tcPr/>
          <w:p>
            <w:pPr>
              <w:pStyle w:val="Compact"/>
            </w:pPr>
            <w:r>
              <w:t xml:space="preserve">5a</w:t>
            </w:r>
          </w:p>
        </w:tc>
        <w:tc>
          <w:tcPr/>
          <w:p>
            <w:pPr>
              <w:pStyle w:val="Compact"/>
            </w:pPr>
            <w:r>
              <w:t xml:space="preserve">Eastern border: Salt Sea from bay to mouth of Jordan</w:t>
            </w:r>
          </w:p>
        </w:tc>
        <w:tc>
          <w:tcPr/>
          <w:p>
            <w:pPr>
              <w:pStyle w:val="Compact"/>
            </w:pPr>
            <w:r>
              <w:t xml:space="preserve">Closed eastern boundary via natural feature</w:t>
            </w:r>
          </w:p>
        </w:tc>
      </w:tr>
      <w:tr>
        <w:tc>
          <w:tcPr/>
          <w:p>
            <w:pPr>
              <w:pStyle w:val="Compact"/>
            </w:pPr>
            <w:r>
              <w:t xml:space="preserve">5b–11</w:t>
            </w:r>
          </w:p>
        </w:tc>
        <w:tc>
          <w:tcPr/>
          <w:p>
            <w:pPr>
              <w:pStyle w:val="Compact"/>
            </w:pPr>
            <w:r>
              <w:t xml:space="preserve">Northern border: mouth of Jordan → Beth-hoglah → valley of Achor → Debir → En-rogel → En-shemesh → Nephtoah → Ephron → Kiriath-jearim → Chesalon → Beth-shemesh → Timnah → Ekron → Mediterranean</w:t>
            </w:r>
          </w:p>
        </w:tc>
        <w:tc>
          <w:tcPr/>
          <w:p>
            <w:pPr>
              <w:pStyle w:val="Compact"/>
            </w:pPr>
            <w:r>
              <w:t xml:space="preserve">Most detailed border — passes through Jerusalem corridor</w:t>
            </w:r>
          </w:p>
        </w:tc>
      </w:tr>
      <w:tr>
        <w:tc>
          <w:tcPr/>
          <w:p>
            <w:pPr>
              <w:pStyle w:val="Compact"/>
            </w:pPr>
            <w:r>
              <w:t xml:space="preserve">12</w:t>
            </w:r>
          </w:p>
        </w:tc>
        <w:tc>
          <w:tcPr/>
          <w:p>
            <w:pPr>
              <w:pStyle w:val="Compact"/>
            </w:pPr>
            <w:r>
              <w:t xml:space="preserve">Western border: Great Sea</w:t>
            </w:r>
          </w:p>
        </w:tc>
        <w:tc>
          <w:tcPr/>
          <w:p>
            <w:pPr>
              <w:pStyle w:val="Compact"/>
            </w:pPr>
            <w:r>
              <w:t xml:space="preserve">Natural western boundary closes the circuit</w:t>
            </w:r>
          </w:p>
        </w:tc>
      </w:tr>
      <w:tr>
        <w:tc>
          <w:tcPr/>
          <w:p>
            <w:pPr>
              <w:pStyle w:val="Compact"/>
            </w:pPr>
            <w:r>
              <w:t xml:space="preserve">13</w:t>
            </w:r>
          </w:p>
        </w:tc>
        <w:tc>
          <w:tcPr/>
          <w:p>
            <w:pPr>
              <w:pStyle w:val="Compact"/>
            </w:pPr>
            <w:r>
              <w:t xml:space="preserve">Caleb son of Jephunneh given Hebron per command of the LORD through Joshua</w:t>
            </w:r>
          </w:p>
        </w:tc>
        <w:tc>
          <w:tcPr/>
          <w:p>
            <w:pPr>
              <w:pStyle w:val="Compact"/>
            </w:pPr>
            <w:r>
              <w:t xml:space="preserve">Fulfillment of Numbers 14:24 — a sworn promise kept</w:t>
            </w:r>
          </w:p>
        </w:tc>
      </w:tr>
      <w:tr>
        <w:tc>
          <w:tcPr/>
          <w:p>
            <w:pPr>
              <w:pStyle w:val="Compact"/>
            </w:pPr>
            <w:r>
              <w:t xml:space="preserve">14</w:t>
            </w:r>
          </w:p>
        </w:tc>
        <w:tc>
          <w:tcPr/>
          <w:p>
            <w:pPr>
              <w:pStyle w:val="Compact"/>
            </w:pPr>
            <w:r>
              <w:t xml:space="preserve">Caleb drives out three sons of Anak from Hebron</w:t>
            </w:r>
          </w:p>
        </w:tc>
        <w:tc>
          <w:tcPr/>
          <w:p>
            <w:pPr>
              <w:pStyle w:val="Compact"/>
            </w:pPr>
            <w:r>
              <w:t xml:space="preserve">Giants dispossessed — the impossible accomplished through covenant confidence</w:t>
            </w:r>
          </w:p>
        </w:tc>
      </w:tr>
      <w:tr>
        <w:tc>
          <w:tcPr/>
          <w:p>
            <w:pPr>
              <w:pStyle w:val="Compact"/>
            </w:pPr>
            <w:r>
              <w:t xml:space="preserve">15–17</w:t>
            </w:r>
          </w:p>
        </w:tc>
        <w:tc>
          <w:tcPr/>
          <w:p>
            <w:pPr>
              <w:pStyle w:val="Compact"/>
            </w:pPr>
            <w:r>
              <w:t xml:space="preserve">Caleb attacks Debir; offers Achsah to whoever captures it; Othniel son of Kenaz takes it</w:t>
            </w:r>
          </w:p>
        </w:tc>
        <w:tc>
          <w:tcPr/>
          <w:p>
            <w:pPr>
              <w:pStyle w:val="Compact"/>
            </w:pPr>
            <w:r>
              <w:t xml:space="preserve">Othniel will reappear as the first judge (Judges 3) — narrative seed planted</w:t>
            </w:r>
          </w:p>
        </w:tc>
      </w:tr>
      <w:tr>
        <w:tc>
          <w:tcPr/>
          <w:p>
            <w:pPr>
              <w:pStyle w:val="Compact"/>
            </w:pPr>
            <w:r>
              <w:t xml:space="preserve">18–19</w:t>
            </w:r>
          </w:p>
        </w:tc>
        <w:tc>
          <w:tcPr/>
          <w:p>
            <w:pPr>
              <w:pStyle w:val="Compact"/>
            </w:pPr>
            <w:r>
              <w:t xml:space="preserve">Achsah requests and receives upper and lower springs from Caleb</w:t>
            </w:r>
          </w:p>
        </w:tc>
        <w:tc>
          <w:tcPr/>
          <w:p>
            <w:pPr>
              <w:pStyle w:val="Compact"/>
            </w:pPr>
            <w:r>
              <w:t xml:space="preserve">Boldness in asking; generosity in giving; inheritance flows from request</w:t>
            </w:r>
          </w:p>
        </w:tc>
      </w:tr>
      <w:tr>
        <w:tc>
          <w:tcPr/>
          <w:p>
            <w:pPr>
              <w:pStyle w:val="Compact"/>
            </w:pPr>
            <w:r>
              <w:t xml:space="preserve">20</w:t>
            </w:r>
          </w:p>
        </w:tc>
        <w:tc>
          <w:tcPr/>
          <w:p>
            <w:pPr>
              <w:pStyle w:val="Compact"/>
            </w:pPr>
            <w:r>
              <w:t xml:space="preserve">Summary statement:</w:t>
            </w:r>
            <w:r>
              <w:t xml:space="preserve"> </w:t>
            </w:r>
            <w:r>
              <w:t xml:space="preserve">“This is the inheritance of the tribe of the people of Judah according to their clans”</w:t>
            </w:r>
          </w:p>
        </w:tc>
        <w:tc>
          <w:tcPr/>
          <w:p>
            <w:pPr>
              <w:pStyle w:val="Compact"/>
            </w:pPr>
            <w:r>
              <w:t xml:space="preserve">Structural marker — closes the border account, opens the city list</w:t>
            </w:r>
          </w:p>
        </w:tc>
      </w:tr>
      <w:tr>
        <w:tc>
          <w:tcPr/>
          <w:p>
            <w:pPr>
              <w:pStyle w:val="Compact"/>
            </w:pPr>
            <w:r>
              <w:t xml:space="preserve">21–32</w:t>
            </w:r>
          </w:p>
        </w:tc>
        <w:tc>
          <w:tcPr/>
          <w:p>
            <w:pPr>
              <w:pStyle w:val="Compact"/>
            </w:pPr>
            <w:r>
              <w:t xml:space="preserve">Negeb towns (29 cities listed, with villages)</w:t>
            </w:r>
          </w:p>
        </w:tc>
        <w:tc>
          <w:tcPr/>
          <w:p>
            <w:pPr>
              <w:pStyle w:val="Compact"/>
            </w:pPr>
            <w:r>
              <w:t xml:space="preserve">Southernmost sub-region; desert border cities</w:t>
            </w:r>
          </w:p>
        </w:tc>
      </w:tr>
      <w:tr>
        <w:tc>
          <w:tcPr/>
          <w:p>
            <w:pPr>
              <w:pStyle w:val="Compact"/>
            </w:pPr>
            <w:r>
              <w:t xml:space="preserve">33–47</w:t>
            </w:r>
          </w:p>
        </w:tc>
        <w:tc>
          <w:tcPr/>
          <w:p>
            <w:pPr>
              <w:pStyle w:val="Compact"/>
            </w:pPr>
            <w:r>
              <w:t xml:space="preserve">Shephelah towns (four sub-groups, including Philistine cities Ashdod, Gaza, Ekron, Gath, Ashkelon)</w:t>
            </w:r>
          </w:p>
        </w:tc>
        <w:tc>
          <w:tcPr/>
          <w:p>
            <w:pPr>
              <w:pStyle w:val="Compact"/>
            </w:pPr>
            <w:r>
              <w:t xml:space="preserve">Lowland foothills; note inclusion of Philistine cities — allotted but not yet possessed</w:t>
            </w:r>
          </w:p>
        </w:tc>
      </w:tr>
      <w:tr>
        <w:tc>
          <w:tcPr/>
          <w:p>
            <w:pPr>
              <w:pStyle w:val="Compact"/>
            </w:pPr>
            <w:r>
              <w:t xml:space="preserve">48–60</w:t>
            </w:r>
          </w:p>
        </w:tc>
        <w:tc>
          <w:tcPr/>
          <w:p>
            <w:pPr>
              <w:pStyle w:val="Compact"/>
            </w:pPr>
            <w:r>
              <w:t xml:space="preserve">Hill country towns (11 sub-groups, ~38 named cities)</w:t>
            </w:r>
          </w:p>
        </w:tc>
        <w:tc>
          <w:tcPr/>
          <w:p>
            <w:pPr>
              <w:pStyle w:val="Compact"/>
            </w:pPr>
            <w:r>
              <w:t xml:space="preserve">Central highlands; densest listing</w:t>
            </w:r>
          </w:p>
        </w:tc>
      </w:tr>
      <w:tr>
        <w:tc>
          <w:tcPr/>
          <w:p>
            <w:pPr>
              <w:pStyle w:val="Compact"/>
            </w:pPr>
            <w:r>
              <w:t xml:space="preserve">61–62</w:t>
            </w:r>
          </w:p>
        </w:tc>
        <w:tc>
          <w:tcPr/>
          <w:p>
            <w:pPr>
              <w:pStyle w:val="Compact"/>
            </w:pPr>
            <w:r>
              <w:t xml:space="preserve">Wilderness towns (6 cities including En-gedi)</w:t>
            </w:r>
          </w:p>
        </w:tc>
        <w:tc>
          <w:tcPr/>
          <w:p>
            <w:pPr>
              <w:pStyle w:val="Compact"/>
            </w:pPr>
            <w:r>
              <w:t xml:space="preserve">Judean wilderness / Dead Sea region</w:t>
            </w:r>
          </w:p>
        </w:tc>
      </w:tr>
      <w:tr>
        <w:tc>
          <w:tcPr/>
          <w:p>
            <w:pPr>
              <w:pStyle w:val="Compact"/>
            </w:pPr>
            <w:r>
              <w:t xml:space="preserve">63</w:t>
            </w:r>
          </w:p>
        </w:tc>
        <w:tc>
          <w:tcPr/>
          <w:p>
            <w:pPr>
              <w:pStyle w:val="Compact"/>
            </w:pPr>
            <w:r>
              <w:t xml:space="preserve">Jebusites in Jerusalem not driven out; dwell with Judah</w:t>
            </w:r>
            <w:r>
              <w:t xml:space="preserve"> </w:t>
            </w:r>
            <w:r>
              <w:t xml:space="preserve">“to this day”</w:t>
            </w:r>
          </w:p>
        </w:tc>
        <w:tc>
          <w:tcPr/>
          <w:p>
            <w:pPr>
              <w:pStyle w:val="Compact"/>
            </w:pPr>
            <w:r>
              <w:t xml:space="preserve">Crack in the foundation; editorial note with full theological weight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Boundaries: A Covenant Title Deed</w:t>
            </w:r>
          </w:p>
        </w:tc>
      </w:tr>
      <w:tr>
        <w:tc>
          <w:tcPr/>
          <w:p>
            <w:pPr>
              <w:pStyle w:val="Compact"/>
            </w:pPr>
            <w:r>
              <w:t xml:space="preserve">2</w:t>
            </w:r>
          </w:p>
        </w:tc>
        <w:tc>
          <w:tcPr/>
          <w:p>
            <w:pPr>
              <w:pStyle w:val="Compact"/>
            </w:pPr>
            <w:r>
              <w:t xml:space="preserve">13–19</w:t>
            </w:r>
          </w:p>
        </w:tc>
        <w:tc>
          <w:tcPr/>
          <w:p>
            <w:pPr>
              <w:pStyle w:val="Compact"/>
            </w:pPr>
            <w:r>
              <w:t xml:space="preserve">Caleb and Achsah: Faith That Claims the Promise</w:t>
            </w:r>
          </w:p>
        </w:tc>
      </w:tr>
      <w:tr>
        <w:tc>
          <w:tcPr/>
          <w:p>
            <w:pPr>
              <w:pStyle w:val="Compact"/>
            </w:pPr>
            <w:r>
              <w:t xml:space="preserve">3</w:t>
            </w:r>
          </w:p>
        </w:tc>
        <w:tc>
          <w:tcPr/>
          <w:p>
            <w:pPr>
              <w:pStyle w:val="Compact"/>
            </w:pPr>
            <w:r>
              <w:t xml:space="preserve">20–62</w:t>
            </w:r>
          </w:p>
        </w:tc>
        <w:tc>
          <w:tcPr/>
          <w:p>
            <w:pPr>
              <w:pStyle w:val="Compact"/>
            </w:pPr>
            <w:r>
              <w:t xml:space="preserve">The City Lists: Grace Named and Numbered</w:t>
            </w:r>
          </w:p>
        </w:tc>
      </w:tr>
      <w:tr>
        <w:tc>
          <w:tcPr/>
          <w:p>
            <w:pPr>
              <w:pStyle w:val="Compact"/>
            </w:pPr>
            <w:r>
              <w:t xml:space="preserve">4</w:t>
            </w:r>
          </w:p>
        </w:tc>
        <w:tc>
          <w:tcPr/>
          <w:p>
            <w:pPr>
              <w:pStyle w:val="Compact"/>
            </w:pPr>
            <w:r>
              <w:t xml:space="preserve">63</w:t>
            </w:r>
          </w:p>
        </w:tc>
        <w:tc>
          <w:tcPr/>
          <w:p>
            <w:pPr>
              <w:pStyle w:val="Compact"/>
            </w:pPr>
            <w:r>
              <w:t xml:space="preserve">The Crack in the Foundation: Incomplete Faith, Incomplete Possession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fulfills His covenant promises with geographic precision — and Israel’s partial obedience leaves a crack in the foundation.</w:t>
      </w:r>
    </w:p>
    <w:p>
      <w:pPr>
        <w:pStyle w:val="BodyText"/>
      </w:pPr>
      <w:r>
        <w:rPr>
          <w:b/>
          <w:bCs/>
        </w:rPr>
        <w:t xml:space="preserve">Primary Claim:</w:t>
      </w:r>
      <w:r>
        <w:t xml:space="preserve"> </w:t>
      </w:r>
      <w:r>
        <w:t xml:space="preserve">The LORD makes good on His covenant promises with concrete, named, documented specificity — but the chapter’s closing failure reveals that inherited grace demands active faith, and when faith falters, the gift goes only partially possessed.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God’s promises are more specific than you think — and that specificity is meant to produce confidence.</w:t>
      </w:r>
      <w:r>
        <w:t xml:space="preserve"> </w:t>
      </w:r>
      <w:r>
        <w:rPr>
          <w:i/>
          <w:iCs/>
        </w:rPr>
        <w:t xml:space="preserve">(Mind/belief)</w:t>
      </w:r>
      <w:r>
        <w:t xml:space="preserve"> </w:t>
      </w:r>
      <w:r>
        <w:t xml:space="preserve">Joshua 15 does not traffic in generalities. Every boundary stone, every named city, every clan allotment is the covenant of Genesis 15 measured in miles and GPS coordinates. Many believers treat God’s promises as vague assurances —</w:t>
      </w:r>
      <w:r>
        <w:t xml:space="preserve"> </w:t>
      </w:r>
      <w:r>
        <w:t xml:space="preserve">“He’s with me, He’ll work it out”</w:t>
      </w:r>
      <w:r>
        <w:t xml:space="preserve"> </w:t>
      </w:r>
      <w:r>
        <w:t xml:space="preserve">— rather than as specific sworn commitments documented and delivered. This chapter is an invitation to go back to the specific promises God has made in His Word — to salvation, to perseverance, to ultimate glory — and treat them as deeds of title, not mood-dependent impressions. God’s word is more bankable than a land survey. Stake your confidence there.</w:t>
      </w:r>
    </w:p>
    <w:p>
      <w:pPr>
        <w:pStyle w:val="BodyText"/>
      </w:pPr>
      <w:r>
        <w:rPr>
          <w:b/>
          <w:bCs/>
        </w:rPr>
        <w:t xml:space="preserve">2. The gift has been given; the question is whether you will live in it.</w:t>
      </w:r>
      <w:r>
        <w:t xml:space="preserve"> </w:t>
      </w:r>
      <w:r>
        <w:rPr>
          <w:i/>
          <w:iCs/>
        </w:rPr>
        <w:t xml:space="preserve">(Will/behavior)</w:t>
      </w:r>
      <w:r>
        <w:t xml:space="preserve"> </w:t>
      </w:r>
      <w:r>
        <w:t xml:space="preserve">Judah received the most extensive territorial allotment in the book. But receiving the title is not the same as inhabiting the territory. The Jebusites in Jerusalem are still there at the end of the chapter. This is not primarily a military failure — it is a faith failure that expresses itself militarily. The application is not abstract: examine where in your own life God has clearly granted something — forgiveness, freedom, calling, identity in Christ — that you are effectively leaving occupied by the enemy. The inheritance is yours by covenant. Stop living as though it is not.</w:t>
      </w:r>
    </w:p>
    <w:p>
      <w:pPr>
        <w:pStyle w:val="BodyText"/>
      </w:pPr>
      <w:r>
        <w:rPr>
          <w:b/>
          <w:bCs/>
        </w:rPr>
        <w:t xml:space="preserve">3. Caleb’s boldness was downstream of a promise, not upstream of one — let that reorder your courage.</w:t>
      </w:r>
      <w:r>
        <w:t xml:space="preserve"> </w:t>
      </w:r>
      <w:r>
        <w:rPr>
          <w:i/>
          <w:iCs/>
        </w:rPr>
        <w:t xml:space="preserve">(Affections/worship)</w:t>
      </w:r>
      <w:r>
        <w:t xml:space="preserve"> </w:t>
      </w:r>
      <w:r>
        <w:t xml:space="preserve">Caleb does not attack Hebron because he is naturally brave. He attacks because the LORD swore it to him through Moses (v. 13). His boldness is the appropriate response to a reliable God. This should produce a specific realignment of affections in the believer: the source of courage is not self-confidence cultivated through spiritual disciplines, but confidence in the character of the God who swears and keeps. When Caleb drives out the sons of Anak — giants — he is not performing heroics; he is collecting on a debt God owes. Worship the God who makes that possible, and let that worship produce the boldness that no self-generated courage ever could.</w:t>
      </w:r>
    </w:p>
    <w:p>
      <w:pPr>
        <w:pStyle w:val="BodyText"/>
      </w:pPr>
      <w:r>
        <w:rPr>
          <w:b/>
          <w:bCs/>
        </w:rPr>
        <w:t xml:space="preserve">4. Achsah’s request teaches you that holy boldness in prayer is not presumption — it is covenant literacy.</w:t>
      </w:r>
      <w:r>
        <w:t xml:space="preserve"> </w:t>
      </w:r>
      <w:r>
        <w:rPr>
          <w:i/>
          <w:iCs/>
        </w:rPr>
        <w:t xml:space="preserve">(Will/behavior)</w:t>
      </w:r>
      <w:r>
        <w:t xml:space="preserve"> </w:t>
      </w:r>
      <w:r>
        <w:t xml:space="preserve">Achsah does not wait passively for her father to think of the springs. She dismounts, asks directly, and receives fully. The narrator presents this as admirable — not grasping. Many believers are passive in prayer not because they lack faith but because they have confused humility with silence. Biblical humility before God is not a reluctance to ask — it is a recognition that all asking happens within a covenant relationship with a Father who gives</w:t>
      </w:r>
      <w:r>
        <w:t xml:space="preserve"> </w:t>
      </w:r>
      <w:r>
        <w:t xml:space="preserve">“good gifts to those who ask him”</w:t>
      </w:r>
      <w:r>
        <w:t xml:space="preserve"> </w:t>
      </w:r>
      <w:r>
        <w:t xml:space="preserve">(Matthew 7:11). Identify specific things God has promised you that you have not yet asked Him to give you — and ask.</w:t>
      </w:r>
    </w:p>
    <w:p>
      <w:pPr>
        <w:pStyle w:val="BodyText"/>
      </w:pPr>
      <w:r>
        <w:rPr>
          <w:b/>
          <w:bCs/>
        </w:rPr>
        <w:t xml:space="preserve">5. The uncompleted conquest is not a distant historical curiosity — it is the pattern of your own sanctification, and it demands honest reckoning.</w:t>
      </w:r>
      <w:r>
        <w:t xml:space="preserve"> </w:t>
      </w:r>
      <w:r>
        <w:rPr>
          <w:i/>
          <w:iCs/>
        </w:rPr>
        <w:t xml:space="preserve">(Mind/belief)</w:t>
      </w:r>
      <w:r>
        <w:t xml:space="preserve"> </w:t>
      </w:r>
      <w:r>
        <w:t xml:space="preserve">The Jebusites are still in Jerusalem at the end of Joshua 15. That verse is written</w:t>
      </w:r>
      <w:r>
        <w:t xml:space="preserve"> </w:t>
      </w:r>
      <w:r>
        <w:t xml:space="preserve">“to this day”</w:t>
      </w:r>
      <w:r>
        <w:t xml:space="preserve"> </w:t>
      </w:r>
      <w:r>
        <w:t xml:space="preserve">— meaning the narrator expects readers to feel the ongoing weight of the failure, not just note it historically. The pattern is universal: inherited grace, partial inhabitation, remaining pockets of the old regime. Every believer can name Jebusites — habituated sins, persistent unbelief, long-occupied strongholds left undisturbed because eviction feels too costly. The chapter does not let you end on the city lists. It makes you sit with v. 63 and ask: what have you left in Jerusalem?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15 makes a claim about the character of God that the surrounding narrative culture desperately needed to hear and that the contemporary reader no less needs: God keeps His word in documentary detail. The precision of the boundary descriptions and city lists is not administrative pedantry — it is theological testimony. A God who swears to Abraham in Genesis 15 and then fulfills that oath with measurable borders and named towns four centuries later is a God whose word can be staked on. The chapter also teaches that God’s fulfillment of His promises does not bypass human agency — Caleb must fight, Othniel must capture Debir, Achsah must ask — but that human agency is the instrument, not the engine, of the promise’s actualization. The engine is the LORD’s oath. This theological claim is reinforced rather than undermined by v. 63: when human faith fails, the promise is not annulled, but its benefits go only partially enjoyed.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15 sits within the Reformed covenantal reading of Scripture as one of the most important pieces of documentary evidence that God is a covenant-keeping God — and that covenant faithfulness is not a New Testament novelty but the spine of the entire biblical narrative. The land grant to Judah is the concrete historical fulfillment of the Abrahamic covenant, which is itself the model for the covenant of grace through which sinners are justified and permanently secured. What God does with borders and cities in Joshua 15, He does with justification, adoption, and glorification in the gospel: He names it, records it, and keeps it. The Caleb narrative grounds courage and faith not in human capacity but in divine promise — the Reformed doctrine of sovereign grace is not merely compatible with human boldness but generates it. And v. 63 anticipates the need for a greater Joshua — one whose conquest is not limited by the faith failures of His people, who drives out the Jebusites not in the era of partial obedience but through His own perfect obedience, securing the city of God definitively. That greater Joshua arrives in 2 Samuel 5 typologically, and in the gospel ultimately.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documented His covenant faithfulness in borders and cities and named towns — which means His gospel promises are at least as bankable as a land deed. But Judah walked away from chapter 15 with the Jebusites still in Jerusalem, and you will walk away from this passage with your own Jebusites still in place unless you do what Caleb and Achsah did: take the oath seriously, ask boldly, and fight where God has already said the land is yours. The gift is given. The question is whether you will live in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boundary descriptions and city lists as uninspiring background material to be skimmed or skipped.</w:t>
      </w:r>
      <w:r>
        <w:t xml:space="preserve"> </w:t>
      </w:r>
      <w:r>
        <w:t xml:space="preserve">This is the most common and most damaging error in preaching Joshua 15. The lists are the sermon. Their length is the argument. A preacher who rushes past vv. 1–12 and 20–62 to get to Caleb has told the congregation, unintentionally, that the documentation of God’s covenant faithfulness is less interesting than a human hero story. Spend time in the lists. Let the sheer accumulation of names make the point: God keeps His word in documented detail.</w:t>
      </w:r>
    </w:p>
    <w:p>
      <w:pPr>
        <w:numPr>
          <w:ilvl w:val="0"/>
          <w:numId w:val="1002"/>
        </w:numPr>
      </w:pPr>
      <w:r>
        <w:rPr>
          <w:b/>
          <w:bCs/>
        </w:rPr>
        <w:t xml:space="preserve">Preaching Caleb moralistically —</w:t>
      </w:r>
      <w:r>
        <w:rPr>
          <w:b/>
          <w:bCs/>
        </w:rPr>
        <w:t xml:space="preserve"> </w:t>
      </w:r>
      <w:r>
        <w:rPr>
          <w:b/>
          <w:bCs/>
        </w:rPr>
        <w:t xml:space="preserve">“Be bold like Caleb.”</w:t>
      </w:r>
      <w:r>
        <w:t xml:space="preserve"> </w:t>
      </w:r>
      <w:r>
        <w:t xml:space="preserve">Caleb’s courage is real and commendable, but reducing the Caleb narrative to an exhortation to personal boldness severs the root from the fruit. Caleb is bold because the LORD swore it to him. Preach the oath before you preach the obedience. Otherwise you have produced a sermon that could apply equally to any brave person in any story — the text’s specific claim has been evacuated.</w:t>
      </w:r>
    </w:p>
    <w:p>
      <w:pPr>
        <w:numPr>
          <w:ilvl w:val="0"/>
          <w:numId w:val="1002"/>
        </w:numPr>
      </w:pPr>
      <w:r>
        <w:rPr>
          <w:b/>
          <w:bCs/>
        </w:rPr>
        <w:t xml:space="preserve">Missing the Achsah narrative entirely or treating it as a charming aside.</w:t>
      </w:r>
      <w:r>
        <w:t xml:space="preserve"> </w:t>
      </w:r>
      <w:r>
        <w:t xml:space="preserve">The Achsah episode (vv. 16–19) is structurally and theologically load-bearing. It is a second example, within the same passage, of covenant boldness producing covenant blessing — this time from a daughter who inherits her father’s faith. It also plants the narrative seed that will bloom in Judges 3 (Othniel as first judge). Skipping it loses both a rich application on bold prayer and a canonical connection to the subsequent history.</w:t>
      </w:r>
    </w:p>
    <w:p>
      <w:pPr>
        <w:numPr>
          <w:ilvl w:val="0"/>
          <w:numId w:val="1002"/>
        </w:numPr>
      </w:pPr>
      <w:r>
        <w:rPr>
          <w:b/>
          <w:bCs/>
        </w:rPr>
        <w:t xml:space="preserve">Reading v. 63 as merely a historical footnote without theological weight.</w:t>
      </w:r>
      <w:r>
        <w:t xml:space="preserve"> </w:t>
      </w:r>
      <w:r>
        <w:t xml:space="preserve">The phrase</w:t>
      </w:r>
      <w:r>
        <w:t xml:space="preserve"> </w:t>
      </w:r>
      <w:r>
        <w:t xml:space="preserve">“to this day”</w:t>
      </w:r>
      <w:r>
        <w:t xml:space="preserve"> </w:t>
      </w:r>
      <w:r>
        <w:t xml:space="preserve">is an editorial signal, not a throwaway. The narrator expects the reader to feel the ongoing consequence of this failure. Preachers who end on the city lists without sitting with v. 63 have preached a triumphalist sermon that the chapter itself refuses to permit. Land was given; Jerusalem was not taken. That gap is the point.</w:t>
      </w:r>
    </w:p>
    <w:p>
      <w:pPr>
        <w:numPr>
          <w:ilvl w:val="0"/>
          <w:numId w:val="1002"/>
        </w:numPr>
      </w:pPr>
      <w:r>
        <w:rPr>
          <w:b/>
          <w:bCs/>
        </w:rPr>
        <w:t xml:space="preserve">Failing to connect the Jebusites in Jerusalem to 2 Samuel 5 and the typological arc.</w:t>
      </w:r>
      <w:r>
        <w:t xml:space="preserve"> </w:t>
      </w:r>
      <w:r>
        <w:t xml:space="preserve">The failure of v. 63 hangs in the air of the canon until David takes Jerusalem. That canonical resolution should at minimum be noted — and where time permits, used to point to the greater David whose conquest is complete. Preachers who leave v. 63 as only a negative warning have told half the story. The other half is that God does not leave His city permanently in Jebusite hands; He raises up an anointed king who finishes what tribal effort cannot.</w:t>
      </w:r>
    </w:p>
    <w:p>
      <w:pPr>
        <w:numPr>
          <w:ilvl w:val="0"/>
          <w:numId w:val="1002"/>
        </w:numPr>
      </w:pPr>
      <w:r>
        <w:rPr>
          <w:b/>
          <w:bCs/>
        </w:rPr>
        <w:t xml:space="preserve">Over-allegorizing the springs in vv. 18–19.</w:t>
      </w:r>
      <w:r>
        <w:t xml:space="preserve"> </w:t>
      </w:r>
      <w:r>
        <w:t xml:space="preserve">The</w:t>
      </w:r>
      <w:r>
        <w:t xml:space="preserve"> </w:t>
      </w:r>
      <w:r>
        <w:t xml:space="preserve">“upper springs and lower springs”</w:t>
      </w:r>
      <w:r>
        <w:t xml:space="preserve"> </w:t>
      </w:r>
      <w:r>
        <w:t xml:space="preserve">have attracted allegorical readings (spiritual refreshment, living water, etc.) that, while devotionally appealing, are not exegetically grounded in this text. The springs are springs. The theological claim is simpler and more powerful at the literal level: Achsah boldly asked for what she needed within her covenant inheritance, and her father gave it fully. Let the literal narrative carry the applicational weight without importing allegorical freight the text does not authorize.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2026-07-14T21:02:18Z</dcterms:created>
  <dcterms:modified xsi:type="dcterms:W3CDTF">2026-07-14T21:02:18Z</dcterms:modified>
</cp:coreProperties>
</file>

<file path=docProps/custom.xml><?xml version="1.0" encoding="utf-8"?>
<Properties xmlns="http://schemas.openxmlformats.org/officeDocument/2006/custom-properties" xmlns:vt="http://schemas.openxmlformats.org/officeDocument/2006/docPropsVTypes"/>
</file>